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i w:val="1"/>
          <w:iCs w:val="1"/>
        </w:rPr>
      </w:pPr>
      <w:r>
        <w:rPr>
          <w:rtl w:val="0"/>
          <w:lang w:val="en-US"/>
        </w:rPr>
        <w:t xml:space="preserve">From July 16-18, 2016, </w:t>
      </w:r>
      <w:r>
        <w:rPr>
          <w:i w:val="1"/>
          <w:iCs w:val="1"/>
          <w:rtl w:val="0"/>
        </w:rPr>
        <w:t>148</w:t>
      </w:r>
      <w:r>
        <w:rPr>
          <w:rtl w:val="0"/>
        </w:rPr>
        <w:t xml:space="preserve"> </w:t>
      </w:r>
      <w:r>
        <w:rPr>
          <w:i w:val="1"/>
          <w:iCs w:val="1"/>
          <w:rtl w:val="0"/>
          <w:lang w:val="en-US"/>
        </w:rPr>
        <w:t>families and professionals from 32 states and 2 territo</w:t>
      </w:r>
      <w:r>
        <w:rPr>
          <w:i w:val="1"/>
          <w:iCs w:val="1"/>
          <w:rtl w:val="0"/>
          <w:lang w:val="en-US"/>
        </w:rPr>
        <w:t>rie</w:t>
      </w:r>
      <w:r>
        <w:rPr>
          <w:i w:val="1"/>
          <w:iCs w:val="1"/>
          <w:rtl w:val="0"/>
        </w:rPr>
        <w:t xml:space="preserve">s                             </w:t>
      </w:r>
      <w:r>
        <w:rPr>
          <w:rtl w:val="0"/>
          <w:lang w:val="en-US"/>
        </w:rPr>
        <w:t>gathered in Austin, TX. Our goal was to gather family leaders from across the country to increase the quality of education and services for individuals who are deaf-blind, while serving as pioneers in their own communities.</w:t>
      </w:r>
      <w:r>
        <w:rPr>
          <w:i w:val="1"/>
          <w:iCs w:val="1"/>
          <w:rtl w:val="0"/>
          <w:lang w:val="en-US"/>
        </w:rPr>
        <w:t xml:space="preserve"> Our participant comments are in italics.</w:t>
      </w:r>
    </w:p>
    <w:p>
      <w:pPr>
        <w:pStyle w:val="Body"/>
        <w:spacing w:line="216" w:lineRule="auto"/>
      </w:pPr>
      <w:r>
        <w:rPr>
          <w:i w:val="1"/>
          <w:iCs w:val="1"/>
          <w:rtl w:val="0"/>
        </w:rPr>
        <w:t xml:space="preserve">      </w:t>
      </w:r>
      <w:r>
        <w:rPr>
          <w:rFonts w:ascii="Calibri" w:cs="Calibri" w:hAnsi="Calibri" w:eastAsia="Calibri"/>
          <w:b w:val="1"/>
          <w:bCs w:val="1"/>
          <w:sz w:val="28"/>
          <w:szCs w:val="28"/>
        </w:rPr>
        <mc:AlternateContent>
          <mc:Choice Requires="wpg">
            <w:drawing>
              <wp:anchor distT="0" distB="0" distL="0" distR="0" simplePos="0" relativeHeight="251659264" behindDoc="0" locked="0" layoutInCell="1" allowOverlap="1">
                <wp:simplePos x="0" y="0"/>
                <wp:positionH relativeFrom="column">
                  <wp:posOffset>-2034037</wp:posOffset>
                </wp:positionH>
                <wp:positionV relativeFrom="line">
                  <wp:posOffset>-612475</wp:posOffset>
                </wp:positionV>
                <wp:extent cx="1016120" cy="1061050"/>
                <wp:effectExtent l="0" t="0" r="0" b="0"/>
                <wp:wrapNone/>
                <wp:docPr id="1073741830" name="officeArt object" descr="NFADBSMALL"/>
                <wp:cNvGraphicFramePr/>
                <a:graphic xmlns:a="http://schemas.openxmlformats.org/drawingml/2006/main">
                  <a:graphicData uri="http://schemas.microsoft.com/office/word/2010/wordprocessingGroup">
                    <wpg:wgp>
                      <wpg:cNvGrpSpPr/>
                      <wpg:grpSpPr>
                        <a:xfrm>
                          <a:off x="0" y="0"/>
                          <a:ext cx="1016120" cy="1061050"/>
                          <a:chOff x="0" y="0"/>
                          <a:chExt cx="1016119" cy="1061049"/>
                        </a:xfrm>
                      </wpg:grpSpPr>
                      <wps:wsp>
                        <wps:cNvPr id="1073741828" name="Shape 1073741828"/>
                        <wps:cNvSpPr/>
                        <wps:spPr>
                          <a:xfrm>
                            <a:off x="0" y="0"/>
                            <a:ext cx="1016120" cy="1061050"/>
                          </a:xfrm>
                          <a:prstGeom prst="rect">
                            <a:avLst/>
                          </a:prstGeom>
                          <a:solidFill>
                            <a:schemeClr val="accent2"/>
                          </a:solidFill>
                          <a:ln w="12700" cap="flat">
                            <a:noFill/>
                            <a:miter lim="400000"/>
                          </a:ln>
                          <a:effectLst/>
                        </wps:spPr>
                        <wps:bodyPr/>
                      </wps:wsp>
                      <pic:pic xmlns:pic="http://schemas.openxmlformats.org/drawingml/2006/picture">
                        <pic:nvPicPr>
                          <pic:cNvPr id="1073741829" name="image1.jpeg"/>
                          <pic:cNvPicPr>
                            <a:picLocks noChangeAspect="1"/>
                          </pic:cNvPicPr>
                        </pic:nvPicPr>
                        <pic:blipFill>
                          <a:blip r:embed="rId4">
                            <a:extLst/>
                          </a:blip>
                          <a:srcRect l="0" t="0" r="0" b="3571"/>
                          <a:stretch>
                            <a:fillRect/>
                          </a:stretch>
                        </pic:blipFill>
                        <pic:spPr>
                          <a:xfrm>
                            <a:off x="0" y="-1"/>
                            <a:ext cx="1016120" cy="1061051"/>
                          </a:xfrm>
                          <a:prstGeom prst="rect">
                            <a:avLst/>
                          </a:prstGeom>
                          <a:ln w="12700" cap="flat">
                            <a:noFill/>
                            <a:miter lim="400000"/>
                          </a:ln>
                          <a:effectLst/>
                        </pic:spPr>
                      </pic:pic>
                    </wpg:wgp>
                  </a:graphicData>
                </a:graphic>
              </wp:anchor>
            </w:drawing>
          </mc:Choice>
          <mc:Fallback>
            <w:pict>
              <v:group id="_x0000_s1026" style="visibility:visible;position:absolute;margin-left:-160.2pt;margin-top:-48.2pt;width:80.0pt;height:83.5pt;z-index:251659264;mso-position-horizontal:absolute;mso-position-horizontal-relative:text;mso-position-vertical:absolute;mso-position-vertical-relative:line;mso-wrap-distance-left:0.0pt;mso-wrap-distance-top:0.0pt;mso-wrap-distance-right:0.0pt;mso-wrap-distance-bottom:0.0pt;" coordorigin="0,0" coordsize="1016120,1061050">
                <w10:wrap type="none" side="bothSides" anchorx="text"/>
                <v:rect id="_x0000_s1027" style="position:absolute;left:0;top:0;width:1016120;height:1061050;">
                  <v:fill color="#C0504D"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016120;height:1061050;">
                  <v:imagedata r:id="rId4" o:title="image1.jpeg" cropbottom="3.6%"/>
                </v:shape>
              </v:group>
            </w:pict>
          </mc:Fallback>
        </mc:AlternateContent>
      </w:r>
      <w:r>
        <w:rPr>
          <w:rtl w:val="0"/>
        </w:rPr>
        <w:t xml:space="preserve">                                                                                                                                                                                               </w:t>
      </w:r>
      <w:r>
        <w:rPr>
          <w:b w:val="1"/>
          <w:bCs w:val="1"/>
          <w:sz w:val="32"/>
          <w:szCs w:val="32"/>
          <w:rtl w:val="0"/>
        </w:rPr>
        <w:t>2</w:t>
      </w:r>
      <w:r>
        <w:rPr>
          <w:sz w:val="32"/>
          <w:szCs w:val="32"/>
          <w:rtl w:val="0"/>
        </w:rPr>
        <w:t xml:space="preserve"> </w:t>
      </w:r>
      <w:r>
        <w:rPr>
          <w:rtl w:val="0"/>
          <w:lang w:val="en-US"/>
        </w:rPr>
        <w:t xml:space="preserve">  amazing partners</w:t>
      </w:r>
      <w:r>
        <w:rPr>
          <w:rtl w:val="0"/>
        </w:rPr>
        <w:t>…</w:t>
      </w:r>
      <w:r>
        <w:rPr>
          <w:rtl w:val="0"/>
          <w:lang w:val="en-US"/>
        </w:rPr>
        <w:t>National Center on Deaf-Blindness and Texas Deaf-Blind Project</w:t>
      </w:r>
    </w:p>
    <w:p>
      <w:pPr>
        <w:pStyle w:val="Body"/>
        <w:spacing w:line="216" w:lineRule="auto"/>
        <w:rPr>
          <w:rFonts w:ascii="Calibri" w:cs="Calibri" w:hAnsi="Calibri" w:eastAsia="Calibri"/>
          <w:i w:val="1"/>
          <w:iCs w:val="1"/>
        </w:rPr>
      </w:pPr>
      <w:r>
        <w:rPr>
          <w:rFonts w:ascii="Calibri" w:cs="Calibri" w:hAnsi="Calibri" w:eastAsia="Calibri"/>
          <w:b w:val="1"/>
          <w:bCs w:val="1"/>
          <w:sz w:val="32"/>
          <w:szCs w:val="32"/>
          <w:rtl w:val="0"/>
        </w:rPr>
        <w:t xml:space="preserve">0 </w:t>
      </w:r>
      <w:r>
        <w:rPr>
          <w:sz w:val="32"/>
          <w:szCs w:val="32"/>
          <w:rtl w:val="0"/>
        </w:rPr>
        <w:t xml:space="preserve"> </w:t>
      </w:r>
      <w:r>
        <w:rPr>
          <w:rtl w:val="0"/>
          <w:lang w:val="en-US"/>
        </w:rPr>
        <w:t xml:space="preserve"> participants who did not go home filled with awe and inspiration! </w:t>
      </w:r>
      <w:r>
        <w:rPr>
          <w:rtl w:val="0"/>
        </w:rPr>
        <w:t>“</w:t>
      </w:r>
      <w:r>
        <w:rPr>
          <w:rFonts w:ascii="Calibri" w:cs="Calibri" w:hAnsi="Calibri" w:eastAsia="Calibri"/>
          <w:i w:val="1"/>
          <w:iCs w:val="1"/>
          <w:rtl w:val="0"/>
          <w:lang w:val="en-US"/>
        </w:rPr>
        <w:t>Fabulous weekend!</w:t>
      </w:r>
      <w:r>
        <w:rPr>
          <w:rFonts w:ascii="Calibri" w:cs="Calibri" w:hAnsi="Calibri" w:eastAsia="Calibri"/>
          <w:i w:val="1"/>
          <w:iCs w:val="1"/>
          <w:rtl w:val="0"/>
        </w:rPr>
        <w:t>”</w:t>
      </w:r>
    </w:p>
    <w:p>
      <w:pPr>
        <w:pStyle w:val="Body"/>
        <w:spacing w:line="216" w:lineRule="auto"/>
      </w:pPr>
      <w:r>
        <w:rPr>
          <w:rFonts w:ascii="Calibri" w:cs="Calibri" w:hAnsi="Calibri" w:eastAsia="Calibri"/>
          <w:b w:val="1"/>
          <w:bCs w:val="1"/>
          <w:sz w:val="32"/>
          <w:szCs w:val="32"/>
          <w:rtl w:val="0"/>
        </w:rPr>
        <w:t>1</w:t>
      </w:r>
      <w:r>
        <w:rPr>
          <w:sz w:val="32"/>
          <w:szCs w:val="32"/>
          <w:rtl w:val="0"/>
        </w:rPr>
        <w:t xml:space="preserve"> </w:t>
      </w:r>
      <w:r>
        <w:rPr>
          <w:rtl w:val="0"/>
          <w:lang w:val="en-US"/>
        </w:rPr>
        <w:t xml:space="preserve">  our fantastic presenters and support personnel were number one in inspiration and knowledge</w:t>
      </w:r>
    </w:p>
    <w:p>
      <w:pPr>
        <w:pStyle w:val="Body"/>
        <w:spacing w:line="216" w:lineRule="auto"/>
        <w:rPr>
          <w:rFonts w:ascii="Calibri" w:cs="Calibri" w:hAnsi="Calibri" w:eastAsia="Calibri"/>
          <w:i w:val="1"/>
          <w:iCs w:val="1"/>
        </w:rPr>
      </w:pPr>
      <w:r>
        <w:rPr>
          <w:rFonts w:ascii="Calibri" w:cs="Calibri" w:hAnsi="Calibri" w:eastAsia="Calibri"/>
          <w:b w:val="1"/>
          <w:bCs w:val="1"/>
          <w:sz w:val="32"/>
          <w:szCs w:val="32"/>
          <w:rtl w:val="0"/>
        </w:rPr>
        <w:t>6</w:t>
      </w:r>
      <w:r>
        <w:rPr>
          <w:sz w:val="32"/>
          <w:szCs w:val="32"/>
          <w:rtl w:val="0"/>
        </w:rPr>
        <w:t xml:space="preserve"> </w:t>
      </w:r>
      <w:r>
        <w:rPr>
          <w:rtl w:val="0"/>
          <w:lang w:val="en-US"/>
        </w:rPr>
        <w:t xml:space="preserve">state affiliates being formed, renewed and energized,   </w:t>
      </w:r>
      <w:r>
        <w:rPr>
          <w:rFonts w:ascii="Calibri" w:cs="Calibri" w:hAnsi="Calibri" w:eastAsia="Calibri"/>
          <w:i w:val="1"/>
          <w:iCs w:val="1"/>
          <w:rtl w:val="0"/>
        </w:rPr>
        <w:t>“</w:t>
      </w:r>
      <w:r>
        <w:rPr>
          <w:rFonts w:ascii="Calibri" w:cs="Calibri" w:hAnsi="Calibri" w:eastAsia="Calibri"/>
          <w:i w:val="1"/>
          <w:iCs w:val="1"/>
          <w:rtl w:val="0"/>
          <w:lang w:val="en-US"/>
        </w:rPr>
        <w:t>Feeling empowered</w:t>
      </w:r>
      <w:r>
        <w:rPr>
          <w:rFonts w:ascii="Calibri" w:cs="Calibri" w:hAnsi="Calibri" w:eastAsia="Calibri"/>
          <w:i w:val="1"/>
          <w:iCs w:val="1"/>
          <w:rtl w:val="0"/>
        </w:rPr>
        <w:t>”</w:t>
      </w:r>
    </w:p>
    <w:p>
      <w:pPr>
        <w:pStyle w:val="Body"/>
        <w:spacing w:line="216" w:lineRule="auto"/>
      </w:pPr>
      <w:r>
        <w:rPr>
          <w:rFonts w:ascii="Calibri" w:cs="Calibri" w:hAnsi="Calibri" w:eastAsia="Calibri"/>
          <w:b w:val="1"/>
          <w:bCs w:val="1"/>
          <w:sz w:val="32"/>
          <w:szCs w:val="32"/>
          <w:rtl w:val="0"/>
        </w:rPr>
        <w:t>S</w:t>
      </w:r>
      <w:r>
        <w:rPr>
          <w:sz w:val="32"/>
          <w:szCs w:val="32"/>
          <w:rtl w:val="0"/>
        </w:rPr>
        <w:t xml:space="preserve"> </w:t>
      </w:r>
      <w:r>
        <w:rPr>
          <w:rtl w:val="0"/>
          <w:lang w:val="en-US"/>
        </w:rPr>
        <w:t>tate Deaf-Blind Project Family Engagement Coordinators attended and supported families</w:t>
      </w:r>
      <w:r>
        <w:rPr>
          <w:sz w:val="32"/>
          <w:szCs w:val="32"/>
          <w:rtl w:val="0"/>
        </w:rPr>
        <w:t xml:space="preserve">   </w:t>
      </w:r>
    </w:p>
    <w:p>
      <w:pPr>
        <w:pStyle w:val="Body"/>
        <w:spacing w:line="216" w:lineRule="auto"/>
      </w:pPr>
      <w:r>
        <w:rPr>
          <w:rFonts w:ascii="Calibri" w:cs="Calibri" w:hAnsi="Calibri" w:eastAsia="Calibri"/>
          <w:b w:val="1"/>
          <w:bCs w:val="1"/>
          <w:sz w:val="32"/>
          <w:szCs w:val="32"/>
          <w:rtl w:val="0"/>
        </w:rPr>
        <w:t>Y</w:t>
      </w:r>
      <w:r>
        <w:rPr>
          <w:sz w:val="32"/>
          <w:szCs w:val="32"/>
          <w:rtl w:val="0"/>
        </w:rPr>
        <w:t xml:space="preserve"> </w:t>
      </w:r>
      <w:r>
        <w:rPr>
          <w:rtl w:val="0"/>
          <w:lang w:val="en-US"/>
        </w:rPr>
        <w:t>ou made a difference by donating your resources to our program</w:t>
      </w:r>
    </w:p>
    <w:p>
      <w:pPr>
        <w:pStyle w:val="Body"/>
        <w:spacing w:line="216" w:lineRule="auto"/>
      </w:pPr>
      <w:r>
        <w:rPr>
          <w:rFonts w:ascii="Calibri" w:cs="Calibri" w:hAnsi="Calibri" w:eastAsia="Calibri"/>
          <w:b w:val="1"/>
          <w:bCs w:val="1"/>
          <w:sz w:val="32"/>
          <w:szCs w:val="32"/>
          <w:rtl w:val="0"/>
        </w:rPr>
        <w:t>M</w:t>
      </w:r>
      <w:r>
        <w:rPr>
          <w:sz w:val="32"/>
          <w:szCs w:val="32"/>
          <w:rtl w:val="0"/>
        </w:rPr>
        <w:t xml:space="preserve"> </w:t>
      </w:r>
      <w:r>
        <w:rPr>
          <w:rtl w:val="0"/>
          <w:lang w:val="en-US"/>
        </w:rPr>
        <w:t>any families met from each state and created Action Plans to take home and initiate</w:t>
      </w:r>
    </w:p>
    <w:p>
      <w:pPr>
        <w:pStyle w:val="Body"/>
        <w:spacing w:line="216" w:lineRule="auto"/>
      </w:pPr>
      <w:r>
        <w:rPr>
          <w:rFonts w:ascii="Calibri" w:cs="Calibri" w:hAnsi="Calibri" w:eastAsia="Calibri"/>
          <w:b w:val="1"/>
          <w:bCs w:val="1"/>
          <w:sz w:val="32"/>
          <w:szCs w:val="32"/>
          <w:rtl w:val="0"/>
        </w:rPr>
        <w:t>P</w:t>
      </w:r>
      <w:r>
        <w:rPr>
          <w:sz w:val="32"/>
          <w:szCs w:val="32"/>
          <w:rtl w:val="0"/>
        </w:rPr>
        <w:t xml:space="preserve"> </w:t>
      </w:r>
      <w:r>
        <w:rPr>
          <w:rtl w:val="0"/>
          <w:lang w:val="en-US"/>
        </w:rPr>
        <w:t>lans are underway for families to reconnect via conference calls and Family to Family Connections</w:t>
      </w:r>
    </w:p>
    <w:p>
      <w:pPr>
        <w:pStyle w:val="Body"/>
        <w:spacing w:line="216" w:lineRule="auto"/>
      </w:pPr>
      <w:r>
        <w:rPr>
          <w:rFonts w:ascii="Calibri" w:cs="Calibri" w:hAnsi="Calibri" w:eastAsia="Calibri"/>
          <w:b w:val="1"/>
          <w:bCs w:val="1"/>
          <w:sz w:val="32"/>
          <w:szCs w:val="32"/>
          <w:rtl w:val="0"/>
        </w:rPr>
        <w:t>O</w:t>
      </w:r>
      <w:r>
        <w:rPr>
          <w:sz w:val="32"/>
          <w:szCs w:val="32"/>
          <w:rtl w:val="0"/>
        </w:rPr>
        <w:t xml:space="preserve"> </w:t>
      </w:r>
      <w:r>
        <w:rPr>
          <w:rtl w:val="0"/>
          <w:lang w:val="en-US"/>
        </w:rPr>
        <w:t>verview of the Cogswell Macy Act and discussions regarding legislation is making a difference</w:t>
      </w:r>
    </w:p>
    <w:p>
      <w:pPr>
        <w:pStyle w:val="Body"/>
        <w:spacing w:line="216" w:lineRule="auto"/>
        <w:rPr>
          <w:rFonts w:ascii="Calibri" w:cs="Calibri" w:hAnsi="Calibri" w:eastAsia="Calibri"/>
          <w:i w:val="1"/>
          <w:iCs w:val="1"/>
        </w:rPr>
      </w:pPr>
      <w:r>
        <w:rPr>
          <w:rFonts w:ascii="Calibri" w:cs="Calibri" w:hAnsi="Calibri" w:eastAsia="Calibri"/>
          <w:b w:val="1"/>
          <w:bCs w:val="1"/>
          <w:sz w:val="32"/>
          <w:szCs w:val="32"/>
          <w:rtl w:val="0"/>
        </w:rPr>
        <w:t>S</w:t>
      </w:r>
      <w:r>
        <w:rPr>
          <w:sz w:val="32"/>
          <w:szCs w:val="32"/>
          <w:rtl w:val="0"/>
        </w:rPr>
        <w:t xml:space="preserve"> </w:t>
      </w:r>
      <w:r>
        <w:rPr>
          <w:rtl w:val="0"/>
          <w:lang w:val="en-US"/>
        </w:rPr>
        <w:t xml:space="preserve">o many ideas being shared, topics of interest discussed for hours, </w:t>
      </w:r>
      <w:r>
        <w:rPr>
          <w:rtl w:val="0"/>
        </w:rPr>
        <w:t>“</w:t>
      </w:r>
      <w:r>
        <w:rPr>
          <w:rFonts w:ascii="Calibri" w:cs="Calibri" w:hAnsi="Calibri" w:eastAsia="Calibri"/>
          <w:i w:val="1"/>
          <w:iCs w:val="1"/>
          <w:rtl w:val="0"/>
          <w:lang w:val="en-US"/>
        </w:rPr>
        <w:t>What I learned was invaluable.</w:t>
      </w:r>
      <w:r>
        <w:rPr>
          <w:rFonts w:ascii="Calibri" w:cs="Calibri" w:hAnsi="Calibri" w:eastAsia="Calibri"/>
          <w:i w:val="1"/>
          <w:iCs w:val="1"/>
          <w:rtl w:val="0"/>
        </w:rPr>
        <w:t>”</w:t>
      </w:r>
    </w:p>
    <w:p>
      <w:pPr>
        <w:pStyle w:val="Body"/>
        <w:spacing w:line="216" w:lineRule="auto"/>
      </w:pPr>
      <w:r>
        <w:rPr>
          <w:rFonts w:ascii="Calibri" w:cs="Calibri" w:hAnsi="Calibri" w:eastAsia="Calibri"/>
          <w:b w:val="1"/>
          <w:bCs w:val="1"/>
          <w:sz w:val="32"/>
          <w:szCs w:val="32"/>
          <w:rtl w:val="0"/>
        </w:rPr>
        <w:t>I</w:t>
      </w:r>
      <w:r>
        <w:rPr>
          <w:sz w:val="32"/>
          <w:szCs w:val="32"/>
          <w:rtl w:val="0"/>
        </w:rPr>
        <w:t xml:space="preserve"> </w:t>
      </w:r>
      <w:r>
        <w:rPr>
          <w:rtl w:val="0"/>
          <w:lang w:val="en-US"/>
        </w:rPr>
        <w:t>ncredible Texas hospitality, laughs, tears, bonds created, friendships formed, fun at social activities, 35 new members, talented deaf-blind musicians entertained, deaf-blind artists created decorations and gifts, podcasts were recorded</w:t>
      </w:r>
    </w:p>
    <w:p>
      <w:pPr>
        <w:pStyle w:val="Body"/>
        <w:spacing w:line="216" w:lineRule="auto"/>
        <w:rPr>
          <w:rFonts w:ascii="Calibri" w:cs="Calibri" w:hAnsi="Calibri" w:eastAsia="Calibri"/>
          <w:i w:val="1"/>
          <w:iCs w:val="1"/>
        </w:rPr>
      </w:pPr>
      <w:r>
        <w:rPr>
          <w:rFonts w:ascii="Calibri" w:cs="Calibri" w:hAnsi="Calibri" w:eastAsia="Calibri"/>
          <w:b w:val="1"/>
          <w:bCs w:val="1"/>
          <w:sz w:val="32"/>
          <w:szCs w:val="32"/>
          <w:rtl w:val="0"/>
        </w:rPr>
        <w:t>U</w:t>
      </w:r>
      <w:r>
        <w:rPr>
          <w:sz w:val="32"/>
          <w:szCs w:val="32"/>
          <w:rtl w:val="0"/>
        </w:rPr>
        <w:t xml:space="preserve"> </w:t>
      </w:r>
      <w:r>
        <w:rPr>
          <w:rtl w:val="0"/>
          <w:lang w:val="en-US"/>
        </w:rPr>
        <w:t xml:space="preserve">nderstanding ways to communicate our stories, collaborative decision making, creating partnerships, </w:t>
      </w:r>
      <w:r>
        <w:rPr>
          <w:rtl w:val="0"/>
        </w:rPr>
        <w:t>“</w:t>
      </w:r>
      <w:r>
        <w:rPr>
          <w:rFonts w:ascii="Calibri" w:cs="Calibri" w:hAnsi="Calibri" w:eastAsia="Calibri"/>
          <w:i w:val="1"/>
          <w:iCs w:val="1"/>
          <w:rtl w:val="0"/>
          <w:lang w:val="en-US"/>
        </w:rPr>
        <w:t>The networking with other parents was priceless, I learned IEP lingo from other parents that has helped me advocate for my child.</w:t>
      </w:r>
      <w:r>
        <w:rPr>
          <w:rFonts w:ascii="Calibri" w:cs="Calibri" w:hAnsi="Calibri" w:eastAsia="Calibri"/>
          <w:i w:val="1"/>
          <w:iCs w:val="1"/>
          <w:rtl w:val="0"/>
        </w:rPr>
        <w:t>”    “</w:t>
      </w:r>
      <w:r>
        <w:rPr>
          <w:rFonts w:ascii="Calibri" w:cs="Calibri" w:hAnsi="Calibri" w:eastAsia="Calibri"/>
          <w:i w:val="1"/>
          <w:iCs w:val="1"/>
          <w:rtl w:val="0"/>
          <w:lang w:val="en-US"/>
        </w:rPr>
        <w:t>Great connections- great ideas.</w:t>
      </w:r>
      <w:r>
        <w:rPr>
          <w:rFonts w:ascii="Calibri" w:cs="Calibri" w:hAnsi="Calibri" w:eastAsia="Calibri"/>
          <w:i w:val="1"/>
          <w:iCs w:val="1"/>
          <w:rtl w:val="0"/>
        </w:rPr>
        <w:t xml:space="preserve">”  </w:t>
      </w:r>
    </w:p>
    <w:p>
      <w:pPr>
        <w:pStyle w:val="Body"/>
        <w:spacing w:line="216" w:lineRule="auto"/>
      </w:pPr>
      <w:r>
        <w:rPr>
          <w:rFonts w:ascii="Calibri" w:cs="Calibri" w:hAnsi="Calibri" w:eastAsia="Calibri"/>
          <w:b w:val="1"/>
          <w:bCs w:val="1"/>
          <w:sz w:val="32"/>
          <w:szCs w:val="32"/>
          <w:rtl w:val="0"/>
        </w:rPr>
        <w:t>M</w:t>
      </w:r>
      <w:r>
        <w:rPr>
          <w:sz w:val="32"/>
          <w:szCs w:val="32"/>
          <w:rtl w:val="0"/>
        </w:rPr>
        <w:t xml:space="preserve"> </w:t>
      </w:r>
      <w:r>
        <w:rPr>
          <w:rtl w:val="0"/>
          <w:lang w:val="en-US"/>
        </w:rPr>
        <w:t>any goals set: initiate action plans created with regional teams throughout the country, monthly podcasts, more information on the website, increased face book and social media presence, Spanish and English webinars, the Family to Family Connections program to join members with common interests via phone and/or video, empower current and new state affiliations, influence legislators to support the Cogswell-Macy Act, facilitate Intervener Modules, disseminate information quickly to membership and list serve regarding current issues and educational opportunities.</w:t>
      </w:r>
    </w:p>
    <w:sectPr>
      <w:headerReference w:type="default" r:id="rId5"/>
      <w:footerReference w:type="default" r:id="rId6"/>
      <w:pgSz w:w="12240" w:h="15840" w:orient="portrait"/>
      <w:pgMar w:top="23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rPr>
        <w:rFonts w:ascii="Calibri" w:cs="Calibri" w:hAnsi="Calibri" w:eastAsia="Calibri"/>
        <w:b w:val="1"/>
        <w:bCs w:val="1"/>
        <w:sz w:val="28"/>
        <w:szCs w:val="28"/>
      </w:rPr>
    </w:pPr>
    <w:r>
      <mc:AlternateContent>
        <mc:Choice Requires="wpg">
          <w:drawing>
            <wp:anchor distT="152400" distB="152400" distL="152400" distR="152400" simplePos="0" relativeHeight="251658240" behindDoc="1" locked="0" layoutInCell="1" allowOverlap="1">
              <wp:simplePos x="0" y="0"/>
              <wp:positionH relativeFrom="page">
                <wp:posOffset>847373</wp:posOffset>
              </wp:positionH>
              <wp:positionV relativeFrom="page">
                <wp:posOffset>189781</wp:posOffset>
              </wp:positionV>
              <wp:extent cx="1210082" cy="1259457"/>
              <wp:effectExtent l="0" t="0" r="0" b="0"/>
              <wp:wrapNone/>
              <wp:docPr id="1073741827" name="officeArt object" descr="NFADBSMALL"/>
              <wp:cNvGraphicFramePr/>
              <a:graphic xmlns:a="http://schemas.openxmlformats.org/drawingml/2006/main">
                <a:graphicData uri="http://schemas.microsoft.com/office/word/2010/wordprocessingGroup">
                  <wpg:wgp>
                    <wpg:cNvGrpSpPr/>
                    <wpg:grpSpPr>
                      <a:xfrm>
                        <a:off x="0" y="0"/>
                        <a:ext cx="1210082" cy="1259457"/>
                        <a:chOff x="0" y="0"/>
                        <a:chExt cx="1210081" cy="1259456"/>
                      </a:xfrm>
                    </wpg:grpSpPr>
                    <wps:wsp>
                      <wps:cNvPr id="1073741825" name="Shape 1073741825"/>
                      <wps:cNvSpPr/>
                      <wps:spPr>
                        <a:xfrm>
                          <a:off x="0" y="0"/>
                          <a:ext cx="1210082" cy="1259457"/>
                        </a:xfrm>
                        <a:prstGeom prst="rect">
                          <a:avLst/>
                        </a:prstGeom>
                        <a:solidFill>
                          <a:schemeClr val="accent2"/>
                        </a:solidFill>
                        <a:ln w="12700" cap="flat">
                          <a:noFill/>
                          <a:miter lim="400000"/>
                        </a:ln>
                        <a:effectLst/>
                      </wps:spPr>
                      <wps:bodyPr/>
                    </wps:wsp>
                    <pic:pic xmlns:pic="http://schemas.openxmlformats.org/drawingml/2006/picture">
                      <pic:nvPicPr>
                        <pic:cNvPr id="1073741826" name="image1.jpeg"/>
                        <pic:cNvPicPr>
                          <a:picLocks noChangeAspect="1"/>
                        </pic:cNvPicPr>
                      </pic:nvPicPr>
                      <pic:blipFill>
                        <a:blip r:embed="rId1">
                          <a:extLst/>
                        </a:blip>
                        <a:srcRect l="0" t="0" r="0" b="3571"/>
                        <a:stretch>
                          <a:fillRect/>
                        </a:stretch>
                      </pic:blipFill>
                      <pic:spPr>
                        <a:xfrm>
                          <a:off x="0" y="-1"/>
                          <a:ext cx="1210082" cy="1259458"/>
                        </a:xfrm>
                        <a:prstGeom prst="rect">
                          <a:avLst/>
                        </a:prstGeom>
                        <a:ln w="12700" cap="flat">
                          <a:noFill/>
                          <a:miter lim="400000"/>
                        </a:ln>
                        <a:effectLst/>
                      </pic:spPr>
                    </pic:pic>
                  </wpg:wgp>
                </a:graphicData>
              </a:graphic>
            </wp:anchor>
          </w:drawing>
        </mc:Choice>
        <mc:Fallback>
          <w:pict>
            <v:group id="_x0000_s1029" style="visibility:visible;position:absolute;margin-left:66.7pt;margin-top:14.9pt;width:95.3pt;height:99.2pt;z-index:-251658240;mso-position-horizontal:absolute;mso-position-horizontal-relative:page;mso-position-vertical:absolute;mso-position-vertical-relative:page;mso-wrap-distance-left:12.0pt;mso-wrap-distance-top:12.0pt;mso-wrap-distance-right:12.0pt;mso-wrap-distance-bottom:12.0pt;" coordorigin="0,0" coordsize="1210082,1259457">
              <w10:wrap type="none" side="bothSides" anchorx="page" anchory="page"/>
              <v:rect id="_x0000_s1030" style="position:absolute;left:0;top:0;width:1210082;height:1259457;">
                <v:fill color="#C0504D" opacity="100.0%" type="solid"/>
                <v:stroke on="f" weight="1.0pt" dashstyle="solid" endcap="flat" miterlimit="400.0%" joinstyle="miter" linestyle="single" startarrow="none" startarrowwidth="medium" startarrowlength="medium" endarrow="none" endarrowwidth="medium" endarrowlength="medium"/>
              </v:rect>
              <v:shape id="_x0000_s1031" type="#_x0000_t75" style="position:absolute;left:0;top:0;width:1210082;height:1259457;">
                <v:imagedata r:id="rId1" o:title="image1.jpeg" cropbottom="3.6%"/>
              </v:shape>
            </v:group>
          </w:pict>
        </mc:Fallback>
      </mc:AlternateContent>
    </w:r>
    <w:r>
      <w:rPr>
        <w:rtl w:val="0"/>
        <w:lang w:val="en-US"/>
      </w:rPr>
      <w:t xml:space="preserve">                                              </w:t>
    </w:r>
    <w:r>
      <w:rPr>
        <w:rFonts w:ascii="Calibri" w:cs="Calibri" w:hAnsi="Calibri" w:eastAsia="Calibri"/>
        <w:b w:val="1"/>
        <w:bCs w:val="1"/>
        <w:sz w:val="28"/>
        <w:szCs w:val="28"/>
        <w:rtl w:val="0"/>
        <w:lang w:val="en-US"/>
      </w:rPr>
      <w:t xml:space="preserve">National Family Association for Deaf-Blind </w:t>
    </w:r>
  </w:p>
  <w:p>
    <w:pPr>
      <w:pStyle w:val="header"/>
      <w:tabs>
        <w:tab w:val="right" w:pos="9340"/>
        <w:tab w:val="clear" w:pos="9360"/>
      </w:tabs>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                                          2016 Symposium Impact Summary</w:t>
    </w:r>
  </w:p>
  <w:p>
    <w:pPr>
      <w:pStyle w:val="header"/>
      <w:tabs>
        <w:tab w:val="right" w:pos="9340"/>
        <w:tab w:val="clear" w:pos="9360"/>
      </w:tabs>
      <w:rPr>
        <w:sz w:val="28"/>
        <w:szCs w:val="28"/>
      </w:rPr>
    </w:pPr>
    <w:r>
      <w:rPr>
        <w:sz w:val="28"/>
        <w:szCs w:val="28"/>
        <w:rtl w:val="0"/>
        <w:lang w:val="en-US"/>
      </w:rPr>
      <w:t xml:space="preserve">                                </w:t>
    </w:r>
  </w:p>
  <w:p>
    <w:pPr>
      <w:pStyle w:val="header"/>
      <w:tabs>
        <w:tab w:val="right" w:pos="9340"/>
        <w:tab w:val="clear" w:pos="9360"/>
      </w:tabs>
    </w:pPr>
    <w:r>
      <w:rPr>
        <w:sz w:val="28"/>
        <w:szCs w:val="28"/>
        <w:rtl w:val="0"/>
        <w:lang w:val="en-US"/>
      </w:rPr>
      <w:t xml:space="preserve">                                     </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